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66" w:rsidRDefault="00584566" w:rsidP="002C738D">
      <w:pPr>
        <w:jc w:val="center"/>
        <w:rPr>
          <w:sz w:val="28"/>
          <w:szCs w:val="28"/>
        </w:rPr>
      </w:pPr>
      <w:bookmarkStart w:id="0" w:name="_GoBack"/>
      <w:bookmarkEnd w:id="0"/>
      <w:r w:rsidRPr="00584566">
        <w:rPr>
          <w:sz w:val="28"/>
          <w:szCs w:val="28"/>
        </w:rPr>
        <w:t>Stamp Act DBQ Rubric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584566" w:rsidRPr="0004668F" w:rsidTr="0004668F">
        <w:tc>
          <w:tcPr>
            <w:tcW w:w="5148" w:type="dxa"/>
            <w:tcBorders>
              <w:top w:val="nil"/>
              <w:left w:val="nil"/>
              <w:bottom w:val="nil"/>
              <w:right w:val="nil"/>
            </w:tcBorders>
            <w:vAlign w:val="center"/>
          </w:tcPr>
          <w:p w:rsidR="00584566" w:rsidRPr="0004668F" w:rsidRDefault="00584566" w:rsidP="0004668F">
            <w:pPr>
              <w:jc w:val="center"/>
              <w:rPr>
                <w:b/>
                <w:sz w:val="20"/>
                <w:szCs w:val="20"/>
              </w:rPr>
            </w:pPr>
            <w:r w:rsidRPr="0004668F">
              <w:rPr>
                <w:b/>
                <w:sz w:val="20"/>
                <w:szCs w:val="20"/>
              </w:rPr>
              <w:t>“[The Stamp Act], however justifiable it may have been in fiscal terms, posed such a distinct threat to Americans’ liberties and the autonomy of their legislatures that they could no longer contain their opposition within the traditional channels of complaints and lobbying.”</w:t>
            </w:r>
          </w:p>
          <w:p w:rsidR="00584566" w:rsidRPr="0004668F" w:rsidRDefault="00584566" w:rsidP="0004668F">
            <w:pPr>
              <w:jc w:val="center"/>
              <w:rPr>
                <w:sz w:val="20"/>
                <w:szCs w:val="20"/>
              </w:rPr>
            </w:pPr>
            <w:r w:rsidRPr="0004668F">
              <w:rPr>
                <w:b/>
                <w:sz w:val="20"/>
                <w:szCs w:val="20"/>
              </w:rPr>
              <w:t>--</w:t>
            </w:r>
            <w:r w:rsidRPr="0004668F">
              <w:rPr>
                <w:b/>
                <w:i/>
                <w:sz w:val="20"/>
                <w:szCs w:val="20"/>
              </w:rPr>
              <w:t xml:space="preserve">The American Revolution </w:t>
            </w:r>
            <w:r w:rsidRPr="0004668F">
              <w:rPr>
                <w:b/>
                <w:sz w:val="20"/>
                <w:szCs w:val="20"/>
              </w:rPr>
              <w:t>(p.28)</w:t>
            </w:r>
          </w:p>
        </w:tc>
        <w:tc>
          <w:tcPr>
            <w:tcW w:w="5148" w:type="dxa"/>
            <w:tcBorders>
              <w:top w:val="nil"/>
              <w:left w:val="nil"/>
              <w:bottom w:val="nil"/>
              <w:right w:val="nil"/>
            </w:tcBorders>
          </w:tcPr>
          <w:p w:rsidR="00584566" w:rsidRPr="0004668F" w:rsidRDefault="00E624CD" w:rsidP="0004668F">
            <w:pPr>
              <w:jc w:val="center"/>
              <w:rPr>
                <w:b/>
                <w:sz w:val="32"/>
                <w:szCs w:val="32"/>
              </w:rPr>
            </w:pPr>
            <w:r>
              <w:rPr>
                <w:rFonts w:ascii="Arial" w:hAnsi="Arial" w:cs="Arial"/>
                <w:noProof/>
                <w:sz w:val="18"/>
                <w:szCs w:val="18"/>
              </w:rPr>
              <w:drawing>
                <wp:inline distT="0" distB="0" distL="0" distR="0">
                  <wp:extent cx="682625" cy="901065"/>
                  <wp:effectExtent l="19050" t="0" r="3175" b="0"/>
                  <wp:docPr id="1" name="Picture 1" descr="Tax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x Stamp"/>
                          <pic:cNvPicPr>
                            <a:picLocks noChangeAspect="1" noChangeArrowheads="1"/>
                          </pic:cNvPicPr>
                        </pic:nvPicPr>
                        <pic:blipFill>
                          <a:blip r:embed="rId7" cstate="print"/>
                          <a:srcRect/>
                          <a:stretch>
                            <a:fillRect/>
                          </a:stretch>
                        </pic:blipFill>
                        <pic:spPr bwMode="auto">
                          <a:xfrm>
                            <a:off x="0" y="0"/>
                            <a:ext cx="682625" cy="901065"/>
                          </a:xfrm>
                          <a:prstGeom prst="rect">
                            <a:avLst/>
                          </a:prstGeom>
                          <a:noFill/>
                          <a:ln w="9525">
                            <a:noFill/>
                            <a:miter lim="800000"/>
                            <a:headEnd/>
                            <a:tailEnd/>
                          </a:ln>
                        </pic:spPr>
                      </pic:pic>
                    </a:graphicData>
                  </a:graphic>
                </wp:inline>
              </w:drawing>
            </w:r>
          </w:p>
          <w:p w:rsidR="00584566" w:rsidRPr="0004668F" w:rsidRDefault="00584566" w:rsidP="0004668F">
            <w:pPr>
              <w:jc w:val="center"/>
              <w:rPr>
                <w:b/>
                <w:sz w:val="20"/>
                <w:szCs w:val="20"/>
              </w:rPr>
            </w:pPr>
            <w:r w:rsidRPr="0004668F">
              <w:rPr>
                <w:b/>
                <w:sz w:val="20"/>
                <w:szCs w:val="20"/>
              </w:rPr>
              <w:t>Tax Stamp, circa 1766</w:t>
            </w:r>
          </w:p>
          <w:p w:rsidR="00584566" w:rsidRPr="0004668F" w:rsidRDefault="00584566" w:rsidP="0004668F">
            <w:pPr>
              <w:jc w:val="center"/>
              <w:rPr>
                <w:sz w:val="28"/>
                <w:szCs w:val="28"/>
              </w:rPr>
            </w:pPr>
          </w:p>
        </w:tc>
      </w:tr>
      <w:tr w:rsidR="00584566" w:rsidRPr="0004668F" w:rsidTr="0004668F">
        <w:tc>
          <w:tcPr>
            <w:tcW w:w="10296" w:type="dxa"/>
            <w:gridSpan w:val="2"/>
            <w:tcBorders>
              <w:top w:val="nil"/>
              <w:left w:val="nil"/>
              <w:bottom w:val="nil"/>
              <w:right w:val="nil"/>
            </w:tcBorders>
          </w:tcPr>
          <w:p w:rsidR="00584566" w:rsidRPr="0004668F" w:rsidRDefault="00584566" w:rsidP="00584566">
            <w:pPr>
              <w:rPr>
                <w:rFonts w:ascii="Arial" w:hAnsi="Arial" w:cs="Arial"/>
                <w:sz w:val="20"/>
                <w:szCs w:val="20"/>
              </w:rPr>
            </w:pPr>
            <w:r w:rsidRPr="0004668F">
              <w:rPr>
                <w:b/>
                <w:bCs/>
                <w:sz w:val="20"/>
                <w:szCs w:val="20"/>
              </w:rPr>
              <w:t>Why were Americans so outraged by the Stamp Act, which seemed to be a simple attempt to raise money for the crown? In what ways did they voice their opposition to the act?</w:t>
            </w:r>
          </w:p>
        </w:tc>
      </w:tr>
    </w:tbl>
    <w:p w:rsidR="00593A80" w:rsidRDefault="00593A80" w:rsidP="007E6C32">
      <w:pPr>
        <w:rPr>
          <w:b/>
          <w:sz w:val="26"/>
          <w:szCs w:val="26"/>
        </w:rPr>
      </w:pPr>
    </w:p>
    <w:p w:rsidR="004E0CED" w:rsidRPr="00593A80" w:rsidRDefault="004E0CED" w:rsidP="007E6C32">
      <w:pPr>
        <w:rPr>
          <w:b/>
          <w:szCs w:val="20"/>
        </w:rPr>
      </w:pPr>
      <w:r w:rsidRPr="00593A80">
        <w:rPr>
          <w:b/>
          <w:szCs w:val="20"/>
        </w:rPr>
        <w:t xml:space="preserve">I: </w:t>
      </w:r>
      <w:r w:rsidR="00781BCE" w:rsidRPr="00593A80">
        <w:rPr>
          <w:b/>
          <w:szCs w:val="20"/>
        </w:rPr>
        <w:t>Introduction</w:t>
      </w:r>
      <w:r w:rsidR="00584566" w:rsidRPr="00593A80">
        <w:rPr>
          <w:b/>
          <w:szCs w:val="20"/>
        </w:rPr>
        <w:t>/Thesis</w:t>
      </w:r>
      <w:r w:rsidRPr="00593A80">
        <w:rPr>
          <w:b/>
          <w:szCs w:val="20"/>
        </w:rPr>
        <w:t>:</w:t>
      </w:r>
    </w:p>
    <w:p w:rsidR="00781BCE" w:rsidRPr="00593A80" w:rsidRDefault="00781BCE" w:rsidP="004E0CED">
      <w:pPr>
        <w:numPr>
          <w:ilvl w:val="0"/>
          <w:numId w:val="7"/>
        </w:numPr>
        <w:rPr>
          <w:b/>
          <w:sz w:val="20"/>
          <w:szCs w:val="20"/>
        </w:rPr>
      </w:pPr>
      <w:r w:rsidRPr="00593A80">
        <w:rPr>
          <w:b/>
          <w:sz w:val="20"/>
          <w:szCs w:val="20"/>
        </w:rPr>
        <w:t xml:space="preserve">Provides </w:t>
      </w:r>
      <w:r w:rsidRPr="00593A80">
        <w:rPr>
          <w:b/>
          <w:sz w:val="20"/>
          <w:szCs w:val="20"/>
          <w:u w:val="single"/>
        </w:rPr>
        <w:t>context/interesting opening</w:t>
      </w:r>
      <w:r w:rsidRPr="00593A80">
        <w:rPr>
          <w:b/>
          <w:sz w:val="20"/>
          <w:szCs w:val="20"/>
        </w:rPr>
        <w:t xml:space="preserve"> to the essay</w:t>
      </w:r>
    </w:p>
    <w:p w:rsidR="004E0CED" w:rsidRPr="00593A80" w:rsidRDefault="004E0CED" w:rsidP="004E0CED">
      <w:pPr>
        <w:numPr>
          <w:ilvl w:val="0"/>
          <w:numId w:val="7"/>
        </w:numPr>
        <w:rPr>
          <w:b/>
          <w:sz w:val="20"/>
          <w:szCs w:val="20"/>
        </w:rPr>
      </w:pPr>
      <w:r w:rsidRPr="00593A80">
        <w:rPr>
          <w:b/>
          <w:sz w:val="20"/>
          <w:szCs w:val="20"/>
        </w:rPr>
        <w:t xml:space="preserve">Illustrates a specific thought, </w:t>
      </w:r>
      <w:r w:rsidRPr="00593A80">
        <w:rPr>
          <w:b/>
          <w:sz w:val="20"/>
          <w:szCs w:val="20"/>
          <w:u w:val="single"/>
        </w:rPr>
        <w:t>rather than merely repeating the question</w:t>
      </w:r>
      <w:r w:rsidRPr="00593A80">
        <w:rPr>
          <w:b/>
          <w:sz w:val="20"/>
          <w:szCs w:val="20"/>
        </w:rPr>
        <w:t>.</w:t>
      </w:r>
    </w:p>
    <w:p w:rsidR="00584566" w:rsidRPr="00593A80" w:rsidRDefault="004E0CED" w:rsidP="00584566">
      <w:pPr>
        <w:numPr>
          <w:ilvl w:val="0"/>
          <w:numId w:val="7"/>
        </w:numPr>
        <w:rPr>
          <w:b/>
          <w:sz w:val="20"/>
          <w:szCs w:val="20"/>
        </w:rPr>
      </w:pPr>
      <w:r w:rsidRPr="00593A80">
        <w:rPr>
          <w:b/>
          <w:sz w:val="20"/>
          <w:szCs w:val="20"/>
        </w:rPr>
        <w:t xml:space="preserve">Answers the </w:t>
      </w:r>
      <w:r w:rsidRPr="00593A80">
        <w:rPr>
          <w:b/>
          <w:sz w:val="20"/>
          <w:szCs w:val="20"/>
          <w:u w:val="single"/>
        </w:rPr>
        <w:t>question directly</w:t>
      </w:r>
      <w:r w:rsidRPr="00593A80">
        <w:rPr>
          <w:b/>
          <w:sz w:val="20"/>
          <w:szCs w:val="20"/>
        </w:rPr>
        <w:t xml:space="preserve"> (often by identifying key phrases / verbs in the question)</w:t>
      </w:r>
      <w:r w:rsidR="00584566" w:rsidRPr="00593A80">
        <w:rPr>
          <w:b/>
          <w:sz w:val="20"/>
          <w:szCs w:val="20"/>
        </w:rPr>
        <w:t xml:space="preserve"> </w:t>
      </w:r>
    </w:p>
    <w:p w:rsidR="00584566" w:rsidRPr="00593A80" w:rsidRDefault="00584566" w:rsidP="00584566">
      <w:pPr>
        <w:numPr>
          <w:ilvl w:val="0"/>
          <w:numId w:val="7"/>
        </w:numPr>
        <w:rPr>
          <w:b/>
          <w:sz w:val="20"/>
          <w:szCs w:val="20"/>
        </w:rPr>
      </w:pPr>
      <w:r w:rsidRPr="00593A80">
        <w:rPr>
          <w:b/>
          <w:sz w:val="20"/>
          <w:szCs w:val="20"/>
        </w:rPr>
        <w:t xml:space="preserve">Drives the essay by providing a </w:t>
      </w:r>
      <w:r w:rsidRPr="00593A80">
        <w:rPr>
          <w:b/>
          <w:sz w:val="20"/>
          <w:szCs w:val="20"/>
          <w:u w:val="single"/>
        </w:rPr>
        <w:t>framework for the student’s entire argument</w:t>
      </w:r>
    </w:p>
    <w:p w:rsidR="004E0CED" w:rsidRPr="00593A80" w:rsidRDefault="004E0CED" w:rsidP="00584566">
      <w:pPr>
        <w:ind w:left="720"/>
        <w:rPr>
          <w:b/>
          <w:sz w:val="20"/>
          <w:szCs w:val="20"/>
        </w:rPr>
      </w:pPr>
    </w:p>
    <w:p w:rsidR="004E0CED" w:rsidRPr="00593A80" w:rsidRDefault="004E0CED" w:rsidP="007E6C32">
      <w:pPr>
        <w:rPr>
          <w:b/>
          <w:sz w:val="20"/>
          <w:szCs w:val="20"/>
        </w:rPr>
      </w:pPr>
    </w:p>
    <w:p w:rsidR="00593A80" w:rsidRPr="00593A80" w:rsidRDefault="00593A80" w:rsidP="007E6C32">
      <w:pPr>
        <w:rPr>
          <w:b/>
          <w:sz w:val="20"/>
          <w:szCs w:val="20"/>
        </w:rPr>
      </w:pPr>
    </w:p>
    <w:p w:rsidR="004E0CED" w:rsidRPr="00593A80" w:rsidRDefault="004E0CED" w:rsidP="007E6C32">
      <w:pPr>
        <w:rPr>
          <w:b/>
          <w:szCs w:val="20"/>
        </w:rPr>
      </w:pPr>
      <w:r w:rsidRPr="00593A80">
        <w:rPr>
          <w:b/>
          <w:szCs w:val="20"/>
        </w:rPr>
        <w:t xml:space="preserve">II: </w:t>
      </w:r>
      <w:r w:rsidR="00584566" w:rsidRPr="00593A80">
        <w:rPr>
          <w:b/>
          <w:szCs w:val="20"/>
        </w:rPr>
        <w:t>Body Paragraph #1</w:t>
      </w:r>
      <w:r w:rsidRPr="00593A80">
        <w:rPr>
          <w:b/>
          <w:szCs w:val="20"/>
        </w:rPr>
        <w:t>:</w:t>
      </w:r>
    </w:p>
    <w:p w:rsidR="00584566" w:rsidRPr="00593A80" w:rsidRDefault="00584566" w:rsidP="004E0CED">
      <w:pPr>
        <w:numPr>
          <w:ilvl w:val="0"/>
          <w:numId w:val="8"/>
        </w:numPr>
        <w:rPr>
          <w:b/>
          <w:sz w:val="20"/>
          <w:szCs w:val="20"/>
        </w:rPr>
      </w:pPr>
      <w:r w:rsidRPr="00593A80">
        <w:rPr>
          <w:b/>
          <w:sz w:val="20"/>
          <w:szCs w:val="20"/>
        </w:rPr>
        <w:t>Topic Sentence is direct and effective</w:t>
      </w:r>
    </w:p>
    <w:p w:rsidR="004E0CED" w:rsidRPr="00593A80" w:rsidRDefault="004E0CED" w:rsidP="004E0CED">
      <w:pPr>
        <w:numPr>
          <w:ilvl w:val="0"/>
          <w:numId w:val="8"/>
        </w:numPr>
        <w:rPr>
          <w:b/>
          <w:sz w:val="20"/>
          <w:szCs w:val="20"/>
        </w:rPr>
      </w:pPr>
      <w:r w:rsidRPr="00593A80">
        <w:rPr>
          <w:b/>
          <w:sz w:val="20"/>
          <w:szCs w:val="20"/>
          <w:u w:val="single"/>
        </w:rPr>
        <w:t>Develop an aspect of one’s thesis and connect back to that thesis</w:t>
      </w:r>
      <w:r w:rsidRPr="00593A80">
        <w:rPr>
          <w:b/>
          <w:sz w:val="20"/>
          <w:szCs w:val="20"/>
        </w:rPr>
        <w:t>.</w:t>
      </w:r>
    </w:p>
    <w:p w:rsidR="004E0CED" w:rsidRPr="00593A80" w:rsidRDefault="00781BCE" w:rsidP="004E0CED">
      <w:pPr>
        <w:numPr>
          <w:ilvl w:val="0"/>
          <w:numId w:val="8"/>
        </w:numPr>
        <w:rPr>
          <w:b/>
          <w:sz w:val="20"/>
          <w:szCs w:val="20"/>
        </w:rPr>
      </w:pPr>
      <w:r w:rsidRPr="00593A80">
        <w:rPr>
          <w:b/>
          <w:sz w:val="20"/>
          <w:szCs w:val="20"/>
        </w:rPr>
        <w:t xml:space="preserve">Utilizes both the </w:t>
      </w:r>
      <w:r w:rsidRPr="00593A80">
        <w:rPr>
          <w:b/>
          <w:sz w:val="20"/>
          <w:szCs w:val="20"/>
          <w:u w:val="single"/>
        </w:rPr>
        <w:t>documents</w:t>
      </w:r>
      <w:r w:rsidRPr="00593A80">
        <w:rPr>
          <w:b/>
          <w:sz w:val="20"/>
          <w:szCs w:val="20"/>
        </w:rPr>
        <w:t xml:space="preserve"> and knowledge gained from the </w:t>
      </w:r>
      <w:r w:rsidRPr="00593A80">
        <w:rPr>
          <w:b/>
          <w:sz w:val="20"/>
          <w:szCs w:val="20"/>
          <w:u w:val="single"/>
        </w:rPr>
        <w:t>readings and class</w:t>
      </w:r>
    </w:p>
    <w:p w:rsidR="00584566" w:rsidRPr="00593A80" w:rsidRDefault="00584566" w:rsidP="004E0CED">
      <w:pPr>
        <w:numPr>
          <w:ilvl w:val="0"/>
          <w:numId w:val="8"/>
        </w:numPr>
        <w:rPr>
          <w:b/>
          <w:sz w:val="20"/>
          <w:szCs w:val="20"/>
        </w:rPr>
      </w:pPr>
      <w:r w:rsidRPr="00593A80">
        <w:rPr>
          <w:b/>
          <w:sz w:val="20"/>
          <w:szCs w:val="20"/>
        </w:rPr>
        <w:t xml:space="preserve">Conclusion of the paragraph </w:t>
      </w:r>
      <w:r w:rsidRPr="00593A80">
        <w:rPr>
          <w:b/>
          <w:sz w:val="20"/>
          <w:szCs w:val="20"/>
          <w:u w:val="single"/>
        </w:rPr>
        <w:t xml:space="preserve">links back to the thesis </w:t>
      </w:r>
      <w:r w:rsidRPr="00593A80">
        <w:rPr>
          <w:b/>
          <w:sz w:val="20"/>
          <w:szCs w:val="20"/>
        </w:rPr>
        <w:t xml:space="preserve">and </w:t>
      </w:r>
      <w:r w:rsidRPr="00593A80">
        <w:rPr>
          <w:b/>
          <w:sz w:val="20"/>
          <w:szCs w:val="20"/>
          <w:u w:val="single"/>
        </w:rPr>
        <w:t>transitions to the next paragraph</w:t>
      </w:r>
    </w:p>
    <w:p w:rsidR="004E0CED" w:rsidRPr="00593A80" w:rsidRDefault="004E0CED" w:rsidP="00584566">
      <w:pPr>
        <w:ind w:left="720"/>
        <w:rPr>
          <w:b/>
          <w:sz w:val="20"/>
          <w:szCs w:val="20"/>
        </w:rPr>
      </w:pPr>
    </w:p>
    <w:p w:rsidR="00593A80" w:rsidRPr="00593A80" w:rsidRDefault="00593A80" w:rsidP="00584566">
      <w:pPr>
        <w:ind w:left="720"/>
        <w:rPr>
          <w:b/>
          <w:sz w:val="20"/>
          <w:szCs w:val="20"/>
        </w:rPr>
      </w:pPr>
    </w:p>
    <w:p w:rsidR="00593A80" w:rsidRPr="00593A80" w:rsidRDefault="00593A80" w:rsidP="00584566">
      <w:pPr>
        <w:ind w:left="720"/>
        <w:rPr>
          <w:b/>
          <w:sz w:val="20"/>
          <w:szCs w:val="20"/>
        </w:rPr>
      </w:pPr>
    </w:p>
    <w:p w:rsidR="00584566" w:rsidRPr="00593A80" w:rsidRDefault="00584566" w:rsidP="00584566">
      <w:pPr>
        <w:rPr>
          <w:b/>
          <w:szCs w:val="20"/>
        </w:rPr>
      </w:pPr>
      <w:r w:rsidRPr="00593A80">
        <w:rPr>
          <w:b/>
          <w:szCs w:val="20"/>
        </w:rPr>
        <w:t>II: Body Paragraph #2:</w:t>
      </w:r>
    </w:p>
    <w:p w:rsidR="00584566" w:rsidRPr="00593A80" w:rsidRDefault="00584566" w:rsidP="00584566">
      <w:pPr>
        <w:numPr>
          <w:ilvl w:val="0"/>
          <w:numId w:val="8"/>
        </w:numPr>
        <w:rPr>
          <w:b/>
          <w:sz w:val="20"/>
          <w:szCs w:val="20"/>
        </w:rPr>
      </w:pPr>
      <w:r w:rsidRPr="00593A80">
        <w:rPr>
          <w:b/>
          <w:sz w:val="20"/>
          <w:szCs w:val="20"/>
        </w:rPr>
        <w:t>Topic Sentence is direct and effective</w:t>
      </w:r>
    </w:p>
    <w:p w:rsidR="00584566" w:rsidRPr="00593A80" w:rsidRDefault="00584566" w:rsidP="00584566">
      <w:pPr>
        <w:numPr>
          <w:ilvl w:val="0"/>
          <w:numId w:val="8"/>
        </w:numPr>
        <w:rPr>
          <w:b/>
          <w:sz w:val="20"/>
          <w:szCs w:val="20"/>
        </w:rPr>
      </w:pPr>
      <w:r w:rsidRPr="00593A80">
        <w:rPr>
          <w:b/>
          <w:sz w:val="20"/>
          <w:szCs w:val="20"/>
          <w:u w:val="single"/>
        </w:rPr>
        <w:t>Develop an aspect of one’s thesis and connect back to that thesis</w:t>
      </w:r>
      <w:r w:rsidRPr="00593A80">
        <w:rPr>
          <w:b/>
          <w:sz w:val="20"/>
          <w:szCs w:val="20"/>
        </w:rPr>
        <w:t>.</w:t>
      </w:r>
    </w:p>
    <w:p w:rsidR="00584566" w:rsidRPr="00593A80" w:rsidRDefault="00584566" w:rsidP="00584566">
      <w:pPr>
        <w:numPr>
          <w:ilvl w:val="0"/>
          <w:numId w:val="8"/>
        </w:numPr>
        <w:rPr>
          <w:b/>
          <w:sz w:val="20"/>
          <w:szCs w:val="20"/>
        </w:rPr>
      </w:pPr>
      <w:r w:rsidRPr="00593A80">
        <w:rPr>
          <w:b/>
          <w:sz w:val="20"/>
          <w:szCs w:val="20"/>
        </w:rPr>
        <w:t xml:space="preserve">Utilizes both the </w:t>
      </w:r>
      <w:r w:rsidRPr="00593A80">
        <w:rPr>
          <w:b/>
          <w:sz w:val="20"/>
          <w:szCs w:val="20"/>
          <w:u w:val="single"/>
        </w:rPr>
        <w:t>documents</w:t>
      </w:r>
      <w:r w:rsidRPr="00593A80">
        <w:rPr>
          <w:b/>
          <w:sz w:val="20"/>
          <w:szCs w:val="20"/>
        </w:rPr>
        <w:t xml:space="preserve"> and knowledge gained from the </w:t>
      </w:r>
      <w:r w:rsidRPr="00593A80">
        <w:rPr>
          <w:b/>
          <w:sz w:val="20"/>
          <w:szCs w:val="20"/>
          <w:u w:val="single"/>
        </w:rPr>
        <w:t>readings and class</w:t>
      </w:r>
    </w:p>
    <w:p w:rsidR="00584566" w:rsidRPr="00593A80" w:rsidRDefault="00584566" w:rsidP="00584566">
      <w:pPr>
        <w:numPr>
          <w:ilvl w:val="0"/>
          <w:numId w:val="8"/>
        </w:numPr>
        <w:rPr>
          <w:b/>
          <w:sz w:val="20"/>
          <w:szCs w:val="20"/>
        </w:rPr>
      </w:pPr>
      <w:r w:rsidRPr="00593A80">
        <w:rPr>
          <w:b/>
          <w:sz w:val="20"/>
          <w:szCs w:val="20"/>
        </w:rPr>
        <w:t xml:space="preserve">Conclusion of the paragraph </w:t>
      </w:r>
      <w:r w:rsidRPr="00593A80">
        <w:rPr>
          <w:b/>
          <w:sz w:val="20"/>
          <w:szCs w:val="20"/>
          <w:u w:val="single"/>
        </w:rPr>
        <w:t xml:space="preserve">links back to the thesis </w:t>
      </w:r>
      <w:r w:rsidRPr="00593A80">
        <w:rPr>
          <w:b/>
          <w:sz w:val="20"/>
          <w:szCs w:val="20"/>
        </w:rPr>
        <w:t xml:space="preserve">and </w:t>
      </w:r>
      <w:r w:rsidRPr="00593A80">
        <w:rPr>
          <w:b/>
          <w:sz w:val="20"/>
          <w:szCs w:val="20"/>
          <w:u w:val="single"/>
        </w:rPr>
        <w:t>transitions to the next paragraph</w:t>
      </w:r>
    </w:p>
    <w:p w:rsidR="002C738D" w:rsidRPr="00593A80" w:rsidRDefault="002C738D" w:rsidP="007E6C32">
      <w:pPr>
        <w:rPr>
          <w:b/>
          <w:sz w:val="20"/>
          <w:szCs w:val="20"/>
        </w:rPr>
      </w:pPr>
    </w:p>
    <w:p w:rsidR="00593A80" w:rsidRPr="00593A80" w:rsidRDefault="00593A80" w:rsidP="007E6C32">
      <w:pPr>
        <w:rPr>
          <w:b/>
          <w:sz w:val="20"/>
          <w:szCs w:val="20"/>
        </w:rPr>
      </w:pPr>
    </w:p>
    <w:p w:rsidR="00593A80" w:rsidRPr="00593A80" w:rsidRDefault="00593A80" w:rsidP="007E6C32">
      <w:pPr>
        <w:rPr>
          <w:b/>
          <w:sz w:val="20"/>
          <w:szCs w:val="20"/>
        </w:rPr>
      </w:pPr>
    </w:p>
    <w:p w:rsidR="00593A80" w:rsidRPr="00593A80" w:rsidRDefault="00593A80" w:rsidP="00593A80">
      <w:pPr>
        <w:outlineLvl w:val="0"/>
        <w:rPr>
          <w:b/>
          <w:szCs w:val="20"/>
        </w:rPr>
      </w:pPr>
      <w:r w:rsidRPr="00593A80">
        <w:rPr>
          <w:b/>
          <w:szCs w:val="20"/>
        </w:rPr>
        <w:t>III: Inclusion of Documents / Quotations:</w:t>
      </w:r>
    </w:p>
    <w:p w:rsidR="00593A80" w:rsidRPr="00593A80" w:rsidRDefault="00593A80" w:rsidP="00593A80">
      <w:pPr>
        <w:pStyle w:val="BodyText2"/>
        <w:numPr>
          <w:ilvl w:val="0"/>
          <w:numId w:val="13"/>
        </w:numPr>
        <w:spacing w:after="0" w:line="240" w:lineRule="auto"/>
        <w:rPr>
          <w:b/>
          <w:bCs/>
          <w:sz w:val="20"/>
          <w:szCs w:val="20"/>
        </w:rPr>
      </w:pPr>
      <w:r w:rsidRPr="00593A80">
        <w:rPr>
          <w:b/>
          <w:bCs/>
          <w:sz w:val="20"/>
          <w:szCs w:val="20"/>
        </w:rPr>
        <w:t>Proper Citation: …the Stamp Act” (Document B)</w:t>
      </w:r>
      <w:r w:rsidRPr="00593A80">
        <w:rPr>
          <w:bCs/>
          <w:sz w:val="20"/>
          <w:szCs w:val="20"/>
        </w:rPr>
        <w:t>.</w:t>
      </w:r>
    </w:p>
    <w:p w:rsidR="00593A80" w:rsidRPr="00593A80" w:rsidRDefault="00593A80" w:rsidP="00593A80">
      <w:pPr>
        <w:numPr>
          <w:ilvl w:val="2"/>
          <w:numId w:val="10"/>
        </w:numPr>
        <w:rPr>
          <w:b/>
          <w:sz w:val="20"/>
          <w:szCs w:val="20"/>
        </w:rPr>
      </w:pPr>
      <w:r w:rsidRPr="00593A80">
        <w:rPr>
          <w:b/>
          <w:bCs/>
          <w:sz w:val="20"/>
          <w:szCs w:val="20"/>
        </w:rPr>
        <w:t xml:space="preserve">Quotations are introduced: </w:t>
      </w:r>
      <w:r w:rsidRPr="00593A80">
        <w:rPr>
          <w:b/>
          <w:sz w:val="20"/>
          <w:szCs w:val="20"/>
        </w:rPr>
        <w:t>Franklin argues, “[quotation.]”</w:t>
      </w:r>
    </w:p>
    <w:p w:rsidR="00593A80" w:rsidRPr="00593A80" w:rsidRDefault="00593A80" w:rsidP="00593A80">
      <w:pPr>
        <w:pStyle w:val="BodyText2"/>
        <w:numPr>
          <w:ilvl w:val="0"/>
          <w:numId w:val="13"/>
        </w:numPr>
        <w:spacing w:after="0" w:line="240" w:lineRule="auto"/>
        <w:rPr>
          <w:sz w:val="20"/>
          <w:szCs w:val="20"/>
        </w:rPr>
      </w:pPr>
      <w:r w:rsidRPr="00593A80">
        <w:rPr>
          <w:sz w:val="20"/>
          <w:szCs w:val="20"/>
        </w:rPr>
        <w:t xml:space="preserve">Quotations / Documents should have their </w:t>
      </w:r>
      <w:r w:rsidRPr="00593A80">
        <w:rPr>
          <w:sz w:val="20"/>
          <w:szCs w:val="20"/>
          <w:u w:val="single"/>
        </w:rPr>
        <w:t>significance illustrated</w:t>
      </w:r>
      <w:r w:rsidRPr="00593A80">
        <w:rPr>
          <w:sz w:val="20"/>
          <w:szCs w:val="20"/>
        </w:rPr>
        <w:t xml:space="preserve">. </w:t>
      </w:r>
    </w:p>
    <w:p w:rsidR="00593A80" w:rsidRPr="00593A80" w:rsidRDefault="00593A80" w:rsidP="00584566">
      <w:pPr>
        <w:rPr>
          <w:b/>
          <w:sz w:val="20"/>
          <w:szCs w:val="20"/>
        </w:rPr>
      </w:pPr>
    </w:p>
    <w:p w:rsidR="00593A80" w:rsidRPr="00593A80" w:rsidRDefault="00593A80" w:rsidP="00584566">
      <w:pPr>
        <w:rPr>
          <w:b/>
          <w:sz w:val="20"/>
          <w:szCs w:val="20"/>
        </w:rPr>
      </w:pPr>
    </w:p>
    <w:p w:rsidR="00593A80" w:rsidRPr="00593A80" w:rsidRDefault="00593A80" w:rsidP="00584566">
      <w:pPr>
        <w:rPr>
          <w:b/>
          <w:sz w:val="20"/>
          <w:szCs w:val="20"/>
        </w:rPr>
      </w:pPr>
    </w:p>
    <w:p w:rsidR="00584566" w:rsidRPr="00593A80" w:rsidRDefault="00593A80" w:rsidP="00584566">
      <w:pPr>
        <w:rPr>
          <w:b/>
          <w:szCs w:val="20"/>
        </w:rPr>
      </w:pPr>
      <w:r w:rsidRPr="00593A80">
        <w:rPr>
          <w:b/>
          <w:szCs w:val="20"/>
        </w:rPr>
        <w:t>IV</w:t>
      </w:r>
      <w:r w:rsidR="00584566" w:rsidRPr="00593A80">
        <w:rPr>
          <w:b/>
          <w:szCs w:val="20"/>
        </w:rPr>
        <w:t>: Conclusion:</w:t>
      </w:r>
    </w:p>
    <w:p w:rsidR="00584566" w:rsidRPr="00593A80" w:rsidRDefault="00584566" w:rsidP="00584566">
      <w:pPr>
        <w:numPr>
          <w:ilvl w:val="0"/>
          <w:numId w:val="12"/>
        </w:numPr>
        <w:tabs>
          <w:tab w:val="clear" w:pos="1080"/>
          <w:tab w:val="num" w:pos="720"/>
        </w:tabs>
        <w:ind w:left="720" w:hanging="360"/>
        <w:rPr>
          <w:sz w:val="20"/>
          <w:szCs w:val="20"/>
        </w:rPr>
      </w:pPr>
      <w:r w:rsidRPr="00593A80">
        <w:rPr>
          <w:sz w:val="20"/>
          <w:szCs w:val="20"/>
        </w:rPr>
        <w:t>Conclusions should review the material and provide a final interesting thought</w:t>
      </w:r>
    </w:p>
    <w:p w:rsidR="00584566" w:rsidRDefault="00584566" w:rsidP="00584566">
      <w:pPr>
        <w:outlineLvl w:val="0"/>
        <w:rPr>
          <w:b/>
          <w:sz w:val="22"/>
          <w:szCs w:val="22"/>
        </w:rPr>
      </w:pPr>
    </w:p>
    <w:p w:rsidR="00593A80" w:rsidRDefault="00593A80" w:rsidP="0085122F">
      <w:pPr>
        <w:ind w:left="360"/>
        <w:jc w:val="center"/>
      </w:pPr>
    </w:p>
    <w:p w:rsidR="00593A80" w:rsidRDefault="00593A80" w:rsidP="0085122F">
      <w:pPr>
        <w:ind w:left="360"/>
        <w:jc w:val="center"/>
      </w:pPr>
    </w:p>
    <w:p w:rsidR="00593A80" w:rsidRDefault="00593A80" w:rsidP="0085122F">
      <w:pPr>
        <w:ind w:left="360"/>
        <w:jc w:val="center"/>
      </w:pPr>
    </w:p>
    <w:p w:rsidR="000552F7" w:rsidRDefault="000552F7" w:rsidP="0085122F">
      <w:pPr>
        <w:ind w:left="360"/>
        <w:jc w:val="center"/>
      </w:pPr>
    </w:p>
    <w:p w:rsidR="000552F7" w:rsidRDefault="000552F7" w:rsidP="0085122F">
      <w:pPr>
        <w:ind w:left="360"/>
        <w:jc w:val="center"/>
      </w:pPr>
    </w:p>
    <w:p w:rsidR="000552F7" w:rsidRDefault="000552F7" w:rsidP="0085122F">
      <w:pPr>
        <w:ind w:left="360"/>
        <w:jc w:val="center"/>
      </w:pPr>
    </w:p>
    <w:p w:rsidR="000552F7" w:rsidRDefault="000552F7" w:rsidP="0085122F">
      <w:pPr>
        <w:ind w:left="360"/>
        <w:jc w:val="center"/>
      </w:pPr>
    </w:p>
    <w:p w:rsidR="000552F7" w:rsidRDefault="000552F7" w:rsidP="0085122F">
      <w:pPr>
        <w:ind w:left="360"/>
        <w:jc w:val="center"/>
      </w:pPr>
    </w:p>
    <w:p w:rsidR="000552F7" w:rsidRDefault="000552F7" w:rsidP="000552F7">
      <w:pPr>
        <w:ind w:left="720"/>
        <w:rPr>
          <w:b/>
          <w:sz w:val="28"/>
          <w:szCs w:val="28"/>
        </w:rPr>
      </w:pPr>
    </w:p>
    <w:p w:rsidR="000552F7" w:rsidRDefault="000552F7" w:rsidP="000552F7">
      <w:pPr>
        <w:numPr>
          <w:ilvl w:val="0"/>
          <w:numId w:val="4"/>
        </w:numPr>
        <w:rPr>
          <w:b/>
          <w:sz w:val="28"/>
          <w:szCs w:val="28"/>
        </w:rPr>
      </w:pPr>
      <w:r>
        <w:rPr>
          <w:b/>
          <w:sz w:val="28"/>
          <w:szCs w:val="28"/>
        </w:rPr>
        <w:t>Document A: Engraving of Attack on Tax Collector</w:t>
      </w:r>
    </w:p>
    <w:p w:rsidR="000552F7" w:rsidRDefault="000552F7" w:rsidP="0085122F">
      <w:pPr>
        <w:ind w:left="360"/>
        <w:jc w:val="center"/>
      </w:pPr>
    </w:p>
    <w:p w:rsidR="007E6C32" w:rsidRDefault="00E624CD" w:rsidP="0085122F">
      <w:pPr>
        <w:ind w:left="360"/>
        <w:jc w:val="center"/>
        <w:rPr>
          <w:b/>
          <w:sz w:val="28"/>
          <w:szCs w:val="28"/>
        </w:rPr>
      </w:pPr>
      <w:r>
        <w:rPr>
          <w:noProof/>
        </w:rPr>
        <w:drawing>
          <wp:inline distT="0" distB="0" distL="0" distR="0">
            <wp:extent cx="3548380" cy="5036185"/>
            <wp:effectExtent l="19050" t="0" r="0" b="0"/>
            <wp:docPr id="2" name="Picture 2" descr="tar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_24"/>
                    <pic:cNvPicPr>
                      <a:picLocks noChangeAspect="1" noChangeArrowheads="1"/>
                    </pic:cNvPicPr>
                  </pic:nvPicPr>
                  <pic:blipFill>
                    <a:blip r:embed="rId8" cstate="print"/>
                    <a:srcRect/>
                    <a:stretch>
                      <a:fillRect/>
                    </a:stretch>
                  </pic:blipFill>
                  <pic:spPr bwMode="auto">
                    <a:xfrm>
                      <a:off x="0" y="0"/>
                      <a:ext cx="3548380" cy="5036185"/>
                    </a:xfrm>
                    <a:prstGeom prst="rect">
                      <a:avLst/>
                    </a:prstGeom>
                    <a:noFill/>
                    <a:ln w="9525">
                      <a:noFill/>
                      <a:miter lim="800000"/>
                      <a:headEnd/>
                      <a:tailEnd/>
                    </a:ln>
                  </pic:spPr>
                </pic:pic>
              </a:graphicData>
            </a:graphic>
          </wp:inline>
        </w:drawing>
      </w:r>
    </w:p>
    <w:p w:rsidR="007E6C32" w:rsidRDefault="007E6C32" w:rsidP="007E6C32">
      <w:pPr>
        <w:ind w:left="360"/>
        <w:rPr>
          <w:b/>
          <w:sz w:val="28"/>
          <w:szCs w:val="28"/>
        </w:rPr>
      </w:pPr>
    </w:p>
    <w:p w:rsidR="00781BCE" w:rsidRPr="00781BCE" w:rsidRDefault="00781BCE" w:rsidP="00781BCE">
      <w:pPr>
        <w:ind w:left="360"/>
        <w:jc w:val="center"/>
        <w:rPr>
          <w:b/>
        </w:rPr>
      </w:pPr>
      <w:r w:rsidRPr="00781BCE">
        <w:rPr>
          <w:b/>
        </w:rPr>
        <w:t>(</w:t>
      </w:r>
      <w:proofErr w:type="gramStart"/>
      <w:r w:rsidRPr="00781BCE">
        <w:rPr>
          <w:b/>
        </w:rPr>
        <w:t>note</w:t>
      </w:r>
      <w:proofErr w:type="gramEnd"/>
      <w:r w:rsidRPr="00781BCE">
        <w:rPr>
          <w:b/>
        </w:rPr>
        <w:t>: a sign on the tree says “Liberty Tree”</w:t>
      </w:r>
      <w:r w:rsidR="00E131C2">
        <w:rPr>
          <w:b/>
        </w:rPr>
        <w:t xml:space="preserve"> and the Stamp Act hangs upside down</w:t>
      </w:r>
      <w:r w:rsidRPr="00781BCE">
        <w:rPr>
          <w:b/>
        </w:rPr>
        <w:t>)</w:t>
      </w:r>
    </w:p>
    <w:p w:rsidR="00DC72FB" w:rsidRDefault="00DC72FB" w:rsidP="007E6C32">
      <w:pPr>
        <w:ind w:left="360"/>
        <w:rPr>
          <w:b/>
          <w:sz w:val="28"/>
          <w:szCs w:val="28"/>
        </w:rPr>
      </w:pPr>
    </w:p>
    <w:p w:rsidR="0085122F" w:rsidRDefault="0085122F" w:rsidP="007E6C32">
      <w:pPr>
        <w:ind w:left="360"/>
        <w:rPr>
          <w:b/>
          <w:sz w:val="28"/>
          <w:szCs w:val="28"/>
        </w:rPr>
      </w:pPr>
    </w:p>
    <w:p w:rsidR="00831C43" w:rsidRDefault="00831C43" w:rsidP="00831C43">
      <w:pPr>
        <w:ind w:left="360"/>
        <w:rPr>
          <w:b/>
          <w:sz w:val="28"/>
          <w:szCs w:val="28"/>
        </w:rPr>
      </w:pPr>
    </w:p>
    <w:p w:rsidR="007E6C32" w:rsidRDefault="00DC72FB" w:rsidP="007E6C32">
      <w:pPr>
        <w:numPr>
          <w:ilvl w:val="0"/>
          <w:numId w:val="4"/>
        </w:numPr>
        <w:rPr>
          <w:b/>
          <w:sz w:val="28"/>
          <w:szCs w:val="28"/>
        </w:rPr>
      </w:pPr>
      <w:r>
        <w:rPr>
          <w:b/>
          <w:sz w:val="28"/>
          <w:szCs w:val="28"/>
        </w:rPr>
        <w:t>D</w:t>
      </w:r>
      <w:r w:rsidR="007E6C32">
        <w:rPr>
          <w:b/>
          <w:sz w:val="28"/>
          <w:szCs w:val="28"/>
        </w:rPr>
        <w:t>ocument B: Excerpts from Virginia Stamp Act Resolutions</w:t>
      </w:r>
      <w:r w:rsidR="00051F17">
        <w:rPr>
          <w:b/>
          <w:sz w:val="28"/>
          <w:szCs w:val="28"/>
        </w:rPr>
        <w:t xml:space="preserve"> (</w:t>
      </w:r>
      <w:smartTag w:uri="urn:schemas-microsoft-com:office:smarttags" w:element="date">
        <w:smartTagPr>
          <w:attr w:name="Month" w:val="5"/>
          <w:attr w:name="Day" w:val="30"/>
          <w:attr w:name="Year" w:val="1765"/>
        </w:smartTagPr>
        <w:r w:rsidR="00051F17">
          <w:rPr>
            <w:b/>
            <w:sz w:val="28"/>
            <w:szCs w:val="28"/>
          </w:rPr>
          <w:t>30 May 1765</w:t>
        </w:r>
      </w:smartTag>
      <w:r w:rsidR="00051F17">
        <w:rPr>
          <w:b/>
          <w:sz w:val="28"/>
          <w:szCs w:val="28"/>
        </w:rPr>
        <w:t>)</w:t>
      </w:r>
    </w:p>
    <w:p w:rsidR="007E6C32" w:rsidRDefault="007E6C32" w:rsidP="007E6C32">
      <w:pPr>
        <w:rPr>
          <w:b/>
          <w:sz w:val="28"/>
          <w:szCs w:val="28"/>
        </w:rPr>
      </w:pPr>
    </w:p>
    <w:p w:rsidR="007E6C32" w:rsidRDefault="007E6C32" w:rsidP="007E6C32">
      <w:r>
        <w:rPr>
          <w:i/>
          <w:iCs/>
        </w:rPr>
        <w:t>Resolved</w:t>
      </w:r>
      <w:r>
        <w:t xml:space="preserve">, that by two royal charters, granted by King James I, the colonists aforesaid are declared entitled to all liberties, privileges, and immunities of denizens and natural subjects to all intents and purposes as if they had been abiding and born within the Realm of England. </w:t>
      </w:r>
    </w:p>
    <w:p w:rsidR="00051F17" w:rsidRDefault="00051F17" w:rsidP="007E6C32">
      <w:pPr>
        <w:rPr>
          <w:rFonts w:ascii="Arial" w:hAnsi="Arial" w:cs="Arial"/>
          <w:color w:val="000000"/>
          <w:sz w:val="20"/>
          <w:szCs w:val="20"/>
        </w:rPr>
      </w:pPr>
    </w:p>
    <w:p w:rsidR="007E6C32" w:rsidRDefault="007E6C32" w:rsidP="007E6C32">
      <w:r>
        <w:rPr>
          <w:i/>
          <w:iCs/>
        </w:rPr>
        <w:t>Resolved</w:t>
      </w:r>
      <w:r>
        <w:t xml:space="preserve">, that the taxation of the people by themselves, or by persons chosen by themselves to represent them, who can only know what taxes the people are able to bear, or the easiest method of raising them, and must themselves be affected by every tax laid on the people, is the only security against a burdensome taxation, and the distinguishing characteristic of British freedom, without which the ancient constitution cannot exist. </w:t>
      </w:r>
    </w:p>
    <w:p w:rsidR="0085122F" w:rsidRDefault="0085122F" w:rsidP="007E6C32">
      <w:pPr>
        <w:rPr>
          <w:b/>
          <w:sz w:val="28"/>
          <w:szCs w:val="28"/>
        </w:rPr>
      </w:pPr>
    </w:p>
    <w:p w:rsidR="00051F17" w:rsidRDefault="00051F17" w:rsidP="00051F17">
      <w:pPr>
        <w:numPr>
          <w:ilvl w:val="0"/>
          <w:numId w:val="4"/>
        </w:numPr>
        <w:rPr>
          <w:b/>
          <w:sz w:val="28"/>
          <w:szCs w:val="28"/>
        </w:rPr>
      </w:pPr>
      <w:r>
        <w:rPr>
          <w:b/>
          <w:sz w:val="28"/>
          <w:szCs w:val="28"/>
        </w:rPr>
        <w:t xml:space="preserve">Document C: Excerpts from a Letter from Archibald </w:t>
      </w:r>
      <w:proofErr w:type="spellStart"/>
      <w:r>
        <w:rPr>
          <w:b/>
          <w:sz w:val="28"/>
          <w:szCs w:val="28"/>
        </w:rPr>
        <w:t>Hinschelwood</w:t>
      </w:r>
      <w:proofErr w:type="spellEnd"/>
      <w:r>
        <w:rPr>
          <w:b/>
          <w:sz w:val="28"/>
          <w:szCs w:val="28"/>
        </w:rPr>
        <w:t>, A British Sympathizer Living in Massachusetts (</w:t>
      </w:r>
      <w:r w:rsidR="00831C43">
        <w:rPr>
          <w:b/>
          <w:sz w:val="28"/>
          <w:szCs w:val="28"/>
        </w:rPr>
        <w:t xml:space="preserve">June </w:t>
      </w:r>
      <w:r>
        <w:rPr>
          <w:b/>
          <w:sz w:val="28"/>
          <w:szCs w:val="28"/>
        </w:rPr>
        <w:t>1765)</w:t>
      </w:r>
    </w:p>
    <w:p w:rsidR="00051F17" w:rsidRDefault="00051F17" w:rsidP="00051F17">
      <w:pPr>
        <w:rPr>
          <w:b/>
          <w:sz w:val="28"/>
          <w:szCs w:val="28"/>
        </w:rPr>
      </w:pPr>
    </w:p>
    <w:p w:rsidR="00051F17" w:rsidRPr="00051F17" w:rsidRDefault="00051F17" w:rsidP="00051F17">
      <w:r w:rsidRPr="00051F17">
        <w:t xml:space="preserve">There is a violent spirit of opposition raised on the continent against the execution of the Stamp Act, the mob in Boston have carried it very high against the </w:t>
      </w:r>
      <w:proofErr w:type="spellStart"/>
      <w:r w:rsidRPr="00051F17">
        <w:t>Secre</w:t>
      </w:r>
      <w:proofErr w:type="spellEnd"/>
      <w:r w:rsidRPr="00051F17">
        <w:t xml:space="preserve">[tar]y [Andrew Oliver]...for his acceptance of an office in consequence of that Act. They have even proceeded to sow violence, and burnt him in effigy. They threaten to pull down &amp; burn the stamp office row building; and that they will hold every man as infamous that shall presume to carry the Stamp Act into execution, so it is thought Mr. Oliver will resign. </w:t>
      </w:r>
    </w:p>
    <w:p w:rsidR="00051F17" w:rsidRDefault="00051F17" w:rsidP="00051F17"/>
    <w:p w:rsidR="004E0CED" w:rsidRDefault="004E0CED" w:rsidP="00051F17"/>
    <w:p w:rsidR="004E0CED" w:rsidRDefault="004E0CED" w:rsidP="00051F17"/>
    <w:p w:rsidR="00DC72FB" w:rsidRDefault="00DC72FB" w:rsidP="00051F17"/>
    <w:p w:rsidR="00DC72FB" w:rsidRDefault="00DC72FB" w:rsidP="00051F17"/>
    <w:p w:rsidR="00051F17" w:rsidRPr="00051F17" w:rsidRDefault="00051F17" w:rsidP="00051F17"/>
    <w:p w:rsidR="00051F17" w:rsidRDefault="00831C43" w:rsidP="00831C43">
      <w:pPr>
        <w:numPr>
          <w:ilvl w:val="0"/>
          <w:numId w:val="4"/>
        </w:numPr>
        <w:rPr>
          <w:b/>
          <w:sz w:val="28"/>
          <w:szCs w:val="28"/>
        </w:rPr>
      </w:pPr>
      <w:r>
        <w:rPr>
          <w:b/>
          <w:sz w:val="28"/>
          <w:szCs w:val="28"/>
        </w:rPr>
        <w:t>Document D: Excerpts from Stamp Act Congress Resolutions (October 1765)</w:t>
      </w:r>
    </w:p>
    <w:p w:rsidR="00831C43" w:rsidRDefault="00831C43" w:rsidP="00831C43">
      <w:pPr>
        <w:rPr>
          <w:b/>
          <w:sz w:val="28"/>
          <w:szCs w:val="28"/>
        </w:rPr>
      </w:pPr>
    </w:p>
    <w:p w:rsidR="00E624CD" w:rsidRPr="00E624CD" w:rsidRDefault="00E624CD" w:rsidP="00E624CD">
      <w:pPr>
        <w:spacing w:before="100" w:beforeAutospacing="1" w:after="100" w:afterAutospacing="1"/>
        <w:rPr>
          <w:color w:val="0000A0"/>
        </w:rPr>
      </w:pPr>
      <w:r w:rsidRPr="00E624CD">
        <w:rPr>
          <w:bCs/>
          <w:color w:val="000000"/>
        </w:rPr>
        <w:t>II.</w:t>
      </w:r>
      <w:r w:rsidRPr="00E624CD">
        <w:rPr>
          <w:color w:val="000000"/>
        </w:rPr>
        <w:t xml:space="preserve"> That His Majesty's liege subjects in these colonies, are entitled to all the inherent rights and liberties of his natural born subjects within the kingdom of Great-Britain. </w:t>
      </w:r>
    </w:p>
    <w:p w:rsidR="00E624CD" w:rsidRPr="00E624CD" w:rsidRDefault="00E624CD" w:rsidP="00E624CD">
      <w:pPr>
        <w:spacing w:before="100" w:beforeAutospacing="1" w:after="100" w:afterAutospacing="1"/>
        <w:rPr>
          <w:color w:val="0000A0"/>
        </w:rPr>
      </w:pPr>
      <w:r w:rsidRPr="00E624CD">
        <w:rPr>
          <w:bCs/>
          <w:color w:val="000000"/>
        </w:rPr>
        <w:t>III.</w:t>
      </w:r>
      <w:r w:rsidRPr="00E624CD">
        <w:rPr>
          <w:color w:val="000000"/>
        </w:rPr>
        <w:t xml:space="preserve"> That it is inseparably essential to the freedom of a people, and the undoubted right of Englishmen, that no taxes be imposed on them, but with their own consent, given personally, or by their representatives. </w:t>
      </w:r>
    </w:p>
    <w:p w:rsidR="00831C43" w:rsidRPr="00E624CD" w:rsidRDefault="00831C43" w:rsidP="00831C43">
      <w:r w:rsidRPr="00E624CD">
        <w:t xml:space="preserve">VIII. That the late Act of Parliament, entitled </w:t>
      </w:r>
      <w:r w:rsidRPr="00E624CD">
        <w:rPr>
          <w:i/>
          <w:iCs/>
        </w:rPr>
        <w:t>An Act for granting and applying certain stamp duties, and other duties, in the British colonies and plantations in America, etc.</w:t>
      </w:r>
      <w:r w:rsidRPr="00E624CD">
        <w:t>, by imposing taxes on the inhabitants of these colonies, and the said Act, and several other Acts, by extending the jurisdiction of the courts of Admiralty beyond its ancient limits, have a manifest tendency to subvert the rights and liberties of the colonists.</w:t>
      </w:r>
    </w:p>
    <w:p w:rsidR="00691928" w:rsidRPr="00E624CD" w:rsidRDefault="00691928" w:rsidP="00691928">
      <w:pPr>
        <w:ind w:left="360"/>
      </w:pPr>
    </w:p>
    <w:p w:rsidR="00691928" w:rsidRPr="00E624CD" w:rsidRDefault="00691928" w:rsidP="00831C43">
      <w:r w:rsidRPr="00E624CD">
        <w:t>IX. That the duties imposed by several late Acts of Parliament, from the peculiar circumstances of these colonies, will be extremely burthensome and grievous; and from the scarcity of specie, the payment of them absolutely impracticable.</w:t>
      </w:r>
    </w:p>
    <w:p w:rsidR="00E624CD" w:rsidRPr="00E624CD" w:rsidRDefault="00E624CD" w:rsidP="00E624CD">
      <w:pPr>
        <w:spacing w:before="100" w:beforeAutospacing="1" w:afterAutospacing="1"/>
        <w:rPr>
          <w:color w:val="0000A0"/>
        </w:rPr>
      </w:pPr>
      <w:r w:rsidRPr="00E624CD">
        <w:rPr>
          <w:bCs/>
          <w:color w:val="000000"/>
        </w:rPr>
        <w:t>XIII.</w:t>
      </w:r>
      <w:r w:rsidRPr="00E624CD">
        <w:rPr>
          <w:color w:val="000000"/>
        </w:rPr>
        <w:t xml:space="preserve"> That it is the right of the British subjects in these colonies, to petition the King, Or either House of Parliament.</w:t>
      </w:r>
    </w:p>
    <w:p w:rsidR="00DC72FB" w:rsidRDefault="00DC72FB" w:rsidP="00831C43">
      <w:pPr>
        <w:rPr>
          <w:b/>
          <w:sz w:val="28"/>
          <w:szCs w:val="28"/>
        </w:rPr>
      </w:pPr>
    </w:p>
    <w:p w:rsidR="004E0CED" w:rsidRDefault="004E0CED" w:rsidP="00831C43">
      <w:pPr>
        <w:rPr>
          <w:b/>
          <w:sz w:val="28"/>
          <w:szCs w:val="28"/>
        </w:rPr>
      </w:pPr>
    </w:p>
    <w:p w:rsidR="00E624CD" w:rsidRDefault="00E624CD" w:rsidP="00831C43">
      <w:pPr>
        <w:rPr>
          <w:b/>
          <w:sz w:val="28"/>
          <w:szCs w:val="28"/>
        </w:rPr>
      </w:pPr>
    </w:p>
    <w:p w:rsidR="00E624CD" w:rsidRDefault="00E624CD" w:rsidP="00831C43">
      <w:pPr>
        <w:rPr>
          <w:b/>
          <w:sz w:val="28"/>
          <w:szCs w:val="28"/>
        </w:rPr>
      </w:pPr>
    </w:p>
    <w:p w:rsidR="00E624CD" w:rsidRDefault="00E624CD" w:rsidP="00831C43">
      <w:pPr>
        <w:rPr>
          <w:b/>
          <w:sz w:val="28"/>
          <w:szCs w:val="28"/>
        </w:rPr>
      </w:pPr>
    </w:p>
    <w:p w:rsidR="00E624CD" w:rsidRDefault="00E624CD" w:rsidP="00831C43">
      <w:pPr>
        <w:rPr>
          <w:b/>
          <w:sz w:val="28"/>
          <w:szCs w:val="28"/>
        </w:rPr>
      </w:pPr>
    </w:p>
    <w:p w:rsidR="00E624CD" w:rsidRDefault="00E624CD" w:rsidP="00831C43">
      <w:pPr>
        <w:rPr>
          <w:b/>
          <w:sz w:val="28"/>
          <w:szCs w:val="28"/>
        </w:rPr>
      </w:pPr>
    </w:p>
    <w:p w:rsidR="00E624CD" w:rsidRDefault="00E624CD" w:rsidP="00831C43">
      <w:pPr>
        <w:rPr>
          <w:b/>
          <w:sz w:val="28"/>
          <w:szCs w:val="28"/>
        </w:rPr>
      </w:pPr>
    </w:p>
    <w:p w:rsidR="00E624CD" w:rsidRDefault="00E624CD" w:rsidP="00831C43">
      <w:pPr>
        <w:rPr>
          <w:b/>
          <w:sz w:val="28"/>
          <w:szCs w:val="28"/>
        </w:rPr>
      </w:pPr>
    </w:p>
    <w:p w:rsidR="004E0CED" w:rsidRDefault="004E0CED" w:rsidP="004E0CED">
      <w:pPr>
        <w:numPr>
          <w:ilvl w:val="0"/>
          <w:numId w:val="4"/>
        </w:numPr>
        <w:rPr>
          <w:b/>
          <w:sz w:val="28"/>
          <w:szCs w:val="28"/>
        </w:rPr>
      </w:pPr>
      <w:r>
        <w:rPr>
          <w:b/>
          <w:sz w:val="28"/>
          <w:szCs w:val="28"/>
        </w:rPr>
        <w:t xml:space="preserve">Document E: William Pitt’s (A member of </w:t>
      </w:r>
      <w:smartTag w:uri="urn:schemas-microsoft-com:office:smarttags" w:element="country-region">
        <w:smartTag w:uri="urn:schemas-microsoft-com:office:smarttags" w:element="place">
          <w:r>
            <w:rPr>
              <w:b/>
              <w:sz w:val="28"/>
              <w:szCs w:val="28"/>
            </w:rPr>
            <w:t>Britain</w:t>
          </w:r>
        </w:smartTag>
      </w:smartTag>
      <w:r>
        <w:rPr>
          <w:b/>
          <w:sz w:val="28"/>
          <w:szCs w:val="28"/>
        </w:rPr>
        <w:t>’s Parliament) Protest Against the Stamp Act on Behalf of the Colonies (</w:t>
      </w:r>
      <w:smartTag w:uri="urn:schemas-microsoft-com:office:smarttags" w:element="date">
        <w:smartTagPr>
          <w:attr w:name="Year" w:val="1766"/>
          <w:attr w:name="Day" w:val="6"/>
          <w:attr w:name="Month" w:val="6"/>
        </w:smartTagPr>
        <w:r w:rsidR="002C738D">
          <w:rPr>
            <w:b/>
            <w:sz w:val="28"/>
            <w:szCs w:val="28"/>
          </w:rPr>
          <w:t>6 June 1766</w:t>
        </w:r>
      </w:smartTag>
      <w:r w:rsidR="002C738D">
        <w:rPr>
          <w:b/>
          <w:sz w:val="28"/>
          <w:szCs w:val="28"/>
        </w:rPr>
        <w:t>)</w:t>
      </w:r>
    </w:p>
    <w:p w:rsidR="004E0CED" w:rsidRPr="002C738D" w:rsidRDefault="002C738D" w:rsidP="004E0CED">
      <w:pPr>
        <w:pStyle w:val="NormalWeb"/>
        <w:rPr>
          <w:rFonts w:ascii="Times New Roman" w:hAnsi="Times New Roman" w:cs="Times New Roman"/>
          <w:sz w:val="24"/>
          <w:szCs w:val="24"/>
        </w:rPr>
      </w:pPr>
      <w:r w:rsidRPr="002C738D">
        <w:rPr>
          <w:rFonts w:ascii="Times New Roman" w:hAnsi="Times New Roman" w:cs="Times New Roman"/>
          <w:sz w:val="24"/>
          <w:szCs w:val="24"/>
        </w:rPr>
        <w:t>If [the British government]</w:t>
      </w:r>
      <w:r w:rsidR="004E0CED" w:rsidRPr="002C738D">
        <w:rPr>
          <w:rFonts w:ascii="Times New Roman" w:hAnsi="Times New Roman" w:cs="Times New Roman"/>
          <w:sz w:val="24"/>
          <w:szCs w:val="24"/>
        </w:rPr>
        <w:t xml:space="preserve"> does not understand the difference between external and internal taxes, I cannot help it; but there is a plain distinction between taxes levied for the purpose of raising a revenue, and duties imposed for the regulation of trade, for the accommodation of the subject; although, in the consequences, some revenue might incidentally arise from the latter. </w:t>
      </w:r>
    </w:p>
    <w:p w:rsidR="00DC72FB" w:rsidRDefault="004E0CED" w:rsidP="004E0CED">
      <w:pPr>
        <w:pStyle w:val="NormalWeb"/>
        <w:rPr>
          <w:rFonts w:ascii="Times New Roman" w:hAnsi="Times New Roman" w:cs="Times New Roman"/>
          <w:sz w:val="24"/>
          <w:szCs w:val="24"/>
        </w:rPr>
      </w:pPr>
      <w:r w:rsidRPr="002C738D">
        <w:rPr>
          <w:rFonts w:ascii="Times New Roman" w:hAnsi="Times New Roman" w:cs="Times New Roman"/>
          <w:sz w:val="24"/>
          <w:szCs w:val="24"/>
        </w:rPr>
        <w:t xml:space="preserve">The gentleman asks, when were the colonies emancipated? But I desire to know, when were they made slaves. </w:t>
      </w:r>
      <w:r w:rsidR="002C738D">
        <w:rPr>
          <w:rFonts w:ascii="Times New Roman" w:hAnsi="Times New Roman" w:cs="Times New Roman"/>
          <w:sz w:val="24"/>
          <w:szCs w:val="24"/>
        </w:rPr>
        <w:t>…</w:t>
      </w:r>
      <w:r w:rsidRPr="002C738D">
        <w:rPr>
          <w:rFonts w:ascii="Times New Roman" w:hAnsi="Times New Roman" w:cs="Times New Roman"/>
          <w:sz w:val="24"/>
          <w:szCs w:val="24"/>
        </w:rPr>
        <w:t xml:space="preserve">I will be bold to affirm, that the profits to </w:t>
      </w:r>
      <w:smartTag w:uri="urn:schemas-microsoft-com:office:smarttags" w:element="country-region">
        <w:smartTag w:uri="urn:schemas-microsoft-com:office:smarttags" w:element="place">
          <w:r w:rsidRPr="002C738D">
            <w:rPr>
              <w:rFonts w:ascii="Times New Roman" w:hAnsi="Times New Roman" w:cs="Times New Roman"/>
              <w:sz w:val="24"/>
              <w:szCs w:val="24"/>
            </w:rPr>
            <w:t>Great Britain</w:t>
          </w:r>
        </w:smartTag>
      </w:smartTag>
      <w:r w:rsidRPr="002C738D">
        <w:rPr>
          <w:rFonts w:ascii="Times New Roman" w:hAnsi="Times New Roman" w:cs="Times New Roman"/>
          <w:sz w:val="24"/>
          <w:szCs w:val="24"/>
        </w:rPr>
        <w:t xml:space="preserve"> from the trade of the colonies, through all its branches, is two millions a year. This is the fund that carried you triumphantly through the last war....</w:t>
      </w:r>
    </w:p>
    <w:p w:rsidR="00DC72FB" w:rsidRDefault="00DC72FB" w:rsidP="004E0CED">
      <w:pPr>
        <w:pStyle w:val="NormalWeb"/>
        <w:rPr>
          <w:rFonts w:ascii="Times New Roman" w:hAnsi="Times New Roman" w:cs="Times New Roman"/>
          <w:sz w:val="24"/>
          <w:szCs w:val="24"/>
        </w:rPr>
      </w:pPr>
    </w:p>
    <w:p w:rsidR="00DC72FB" w:rsidRDefault="00DC72FB" w:rsidP="004E0CED">
      <w:pPr>
        <w:pStyle w:val="NormalWeb"/>
        <w:rPr>
          <w:rFonts w:ascii="Times New Roman" w:hAnsi="Times New Roman" w:cs="Times New Roman"/>
          <w:sz w:val="24"/>
          <w:szCs w:val="24"/>
        </w:rPr>
      </w:pPr>
    </w:p>
    <w:p w:rsidR="00E65EB8" w:rsidRDefault="00E65EB8" w:rsidP="00E65EB8">
      <w:pPr>
        <w:numPr>
          <w:ilvl w:val="0"/>
          <w:numId w:val="4"/>
        </w:numPr>
        <w:rPr>
          <w:b/>
          <w:sz w:val="28"/>
          <w:szCs w:val="28"/>
        </w:rPr>
      </w:pPr>
      <w:r>
        <w:rPr>
          <w:b/>
          <w:sz w:val="28"/>
          <w:szCs w:val="28"/>
        </w:rPr>
        <w:t>Document F: Excerpts from the Declaratory Act (March 1766)</w:t>
      </w:r>
    </w:p>
    <w:p w:rsidR="000552F7" w:rsidRDefault="000552F7" w:rsidP="000552F7">
      <w:pPr>
        <w:rPr>
          <w:b/>
          <w:sz w:val="28"/>
          <w:szCs w:val="28"/>
        </w:rPr>
      </w:pPr>
    </w:p>
    <w:p w:rsidR="000552F7" w:rsidRPr="007E6C32" w:rsidRDefault="000552F7" w:rsidP="000552F7">
      <w:pPr>
        <w:rPr>
          <w:b/>
          <w:sz w:val="28"/>
          <w:szCs w:val="28"/>
        </w:rPr>
      </w:pPr>
      <w:r>
        <w:t xml:space="preserve">That the said colonies and plantations in </w:t>
      </w:r>
      <w:r>
        <w:rPr>
          <w:i/>
          <w:iCs/>
        </w:rPr>
        <w:t>America</w:t>
      </w:r>
      <w:r>
        <w:t xml:space="preserve"> have been, are, and of right ought to be, subordinate unto, and dependent upon the imperial crown and Parliament of </w:t>
      </w:r>
      <w:r>
        <w:rPr>
          <w:i/>
          <w:iCs/>
        </w:rPr>
        <w:t>Great Britain;</w:t>
      </w:r>
      <w:r>
        <w:t xml:space="preserve"> and that the king's Majesty, by and with the advice and consent of the Lords Spiritual and Temporal, and Commons, of </w:t>
      </w:r>
      <w:r>
        <w:rPr>
          <w:i/>
          <w:iCs/>
        </w:rPr>
        <w:t>Great Britain,</w:t>
      </w:r>
      <w:r>
        <w:t xml:space="preserve"> in Parliament assembled, had, has, and of right ought to have, full power and authority to make laws and statutes of sufficient force and validity to bind the colonies and people of </w:t>
      </w:r>
      <w:r>
        <w:rPr>
          <w:i/>
          <w:iCs/>
        </w:rPr>
        <w:t>America,</w:t>
      </w:r>
      <w:r>
        <w:t xml:space="preserve"> subjects of the crown of </w:t>
      </w:r>
      <w:r>
        <w:rPr>
          <w:i/>
          <w:iCs/>
        </w:rPr>
        <w:t>Great Britain,</w:t>
      </w:r>
      <w:r>
        <w:t xml:space="preserve"> in all cases whatsoever.</w:t>
      </w:r>
    </w:p>
    <w:p w:rsidR="000552F7" w:rsidRDefault="000552F7" w:rsidP="000552F7">
      <w:pPr>
        <w:rPr>
          <w:b/>
          <w:sz w:val="28"/>
          <w:szCs w:val="28"/>
        </w:rPr>
      </w:pPr>
    </w:p>
    <w:p w:rsidR="00E65EB8" w:rsidRDefault="00E65EB8" w:rsidP="00E65EB8">
      <w:pPr>
        <w:rPr>
          <w:b/>
          <w:sz w:val="28"/>
          <w:szCs w:val="28"/>
        </w:rPr>
      </w:pPr>
    </w:p>
    <w:p w:rsidR="004E0CED" w:rsidRDefault="004E0CED" w:rsidP="004E0CED">
      <w:pPr>
        <w:rPr>
          <w:b/>
          <w:sz w:val="28"/>
          <w:szCs w:val="28"/>
        </w:rPr>
      </w:pPr>
    </w:p>
    <w:p w:rsidR="00781BCE" w:rsidRDefault="00781BCE" w:rsidP="004E0CED">
      <w:pPr>
        <w:rPr>
          <w:b/>
          <w:sz w:val="28"/>
          <w:szCs w:val="28"/>
        </w:rPr>
      </w:pPr>
    </w:p>
    <w:p w:rsidR="00781BCE" w:rsidRDefault="00781BCE" w:rsidP="004E0CED">
      <w:pPr>
        <w:rPr>
          <w:b/>
          <w:sz w:val="28"/>
          <w:szCs w:val="28"/>
        </w:rPr>
      </w:pPr>
    </w:p>
    <w:p w:rsidR="00781BCE" w:rsidRDefault="00781BCE" w:rsidP="004E0CED">
      <w:pPr>
        <w:rPr>
          <w:b/>
          <w:sz w:val="28"/>
          <w:szCs w:val="28"/>
        </w:rPr>
      </w:pPr>
    </w:p>
    <w:sectPr w:rsidR="00781BCE" w:rsidSect="00831C4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6BE"/>
    <w:multiLevelType w:val="hybridMultilevel"/>
    <w:tmpl w:val="48EC0A44"/>
    <w:lvl w:ilvl="0" w:tplc="7E32C8E4">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19D35CA3"/>
    <w:multiLevelType w:val="hybridMultilevel"/>
    <w:tmpl w:val="2084D5E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D05B8C"/>
    <w:multiLevelType w:val="hybridMultilevel"/>
    <w:tmpl w:val="C11494D6"/>
    <w:lvl w:ilvl="0" w:tplc="7E32C8E4">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ED2482"/>
    <w:multiLevelType w:val="hybridMultilevel"/>
    <w:tmpl w:val="95C29B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48E4660"/>
    <w:multiLevelType w:val="hybridMultilevel"/>
    <w:tmpl w:val="3A22B7C4"/>
    <w:lvl w:ilvl="0" w:tplc="7E32C8E4">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452B4F1B"/>
    <w:multiLevelType w:val="hybridMultilevel"/>
    <w:tmpl w:val="F52C625A"/>
    <w:lvl w:ilvl="0" w:tplc="7E32C8E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48040360"/>
    <w:multiLevelType w:val="hybridMultilevel"/>
    <w:tmpl w:val="3A7AD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09185E"/>
    <w:multiLevelType w:val="hybridMultilevel"/>
    <w:tmpl w:val="F9B089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9439F8"/>
    <w:multiLevelType w:val="hybridMultilevel"/>
    <w:tmpl w:val="5824D4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2E42ACE"/>
    <w:multiLevelType w:val="hybridMultilevel"/>
    <w:tmpl w:val="C1A8EC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2F4FDD"/>
    <w:multiLevelType w:val="hybridMultilevel"/>
    <w:tmpl w:val="3A869C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235018"/>
    <w:multiLevelType w:val="hybridMultilevel"/>
    <w:tmpl w:val="C966C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3A5FE1"/>
    <w:multiLevelType w:val="hybridMultilevel"/>
    <w:tmpl w:val="379E02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6"/>
  </w:num>
  <w:num w:numId="3">
    <w:abstractNumId w:val="1"/>
  </w:num>
  <w:num w:numId="4">
    <w:abstractNumId w:val="10"/>
  </w:num>
  <w:num w:numId="5">
    <w:abstractNumId w:val="7"/>
  </w:num>
  <w:num w:numId="6">
    <w:abstractNumId w:val="11"/>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2"/>
  </w:num>
  <w:num w:numId="12">
    <w:abstractNumId w:val="0"/>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FB"/>
    <w:rsid w:val="0004668F"/>
    <w:rsid w:val="00051F17"/>
    <w:rsid w:val="000552F7"/>
    <w:rsid w:val="00090CAA"/>
    <w:rsid w:val="000D5107"/>
    <w:rsid w:val="001C61FC"/>
    <w:rsid w:val="00273B71"/>
    <w:rsid w:val="002C738D"/>
    <w:rsid w:val="003279FB"/>
    <w:rsid w:val="004A3512"/>
    <w:rsid w:val="004E0CED"/>
    <w:rsid w:val="0057240F"/>
    <w:rsid w:val="00584566"/>
    <w:rsid w:val="00593A80"/>
    <w:rsid w:val="00691928"/>
    <w:rsid w:val="00781BCE"/>
    <w:rsid w:val="007E6C32"/>
    <w:rsid w:val="00806375"/>
    <w:rsid w:val="00831C43"/>
    <w:rsid w:val="0085122F"/>
    <w:rsid w:val="00883FC4"/>
    <w:rsid w:val="008F6786"/>
    <w:rsid w:val="009C2970"/>
    <w:rsid w:val="00A13B6A"/>
    <w:rsid w:val="00DC72FB"/>
    <w:rsid w:val="00E131C2"/>
    <w:rsid w:val="00E624CD"/>
    <w:rsid w:val="00E65EB8"/>
    <w:rsid w:val="00EE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A13B6A"/>
    <w:pPr>
      <w:keepNext/>
      <w:pBdr>
        <w:top w:val="single" w:sz="6" w:space="1" w:color="auto"/>
        <w:left w:val="single" w:sz="6" w:space="0" w:color="auto"/>
        <w:bottom w:val="single" w:sz="6" w:space="1" w:color="auto"/>
        <w:right w:val="single" w:sz="6" w:space="1" w:color="auto"/>
      </w:pBdr>
      <w:ind w:firstLine="7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6C32"/>
    <w:pPr>
      <w:spacing w:before="100" w:beforeAutospacing="1" w:after="100" w:afterAutospacing="1"/>
    </w:pPr>
    <w:rPr>
      <w:rFonts w:ascii="Arial" w:hAnsi="Arial" w:cs="Arial"/>
      <w:color w:val="000000"/>
      <w:sz w:val="20"/>
      <w:szCs w:val="20"/>
    </w:rPr>
  </w:style>
  <w:style w:type="character" w:styleId="Strong">
    <w:name w:val="Strong"/>
    <w:basedOn w:val="DefaultParagraphFont"/>
    <w:qFormat/>
    <w:rsid w:val="00831C43"/>
    <w:rPr>
      <w:b/>
      <w:bCs/>
    </w:rPr>
  </w:style>
  <w:style w:type="paragraph" w:styleId="BodyText">
    <w:name w:val="Body Text"/>
    <w:basedOn w:val="Normal"/>
    <w:rsid w:val="00A13B6A"/>
    <w:rPr>
      <w:sz w:val="28"/>
    </w:rPr>
  </w:style>
  <w:style w:type="table" w:styleId="TableGrid">
    <w:name w:val="Table Grid"/>
    <w:basedOn w:val="TableNormal"/>
    <w:uiPriority w:val="59"/>
    <w:rsid w:val="005845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584566"/>
    <w:pPr>
      <w:spacing w:after="120" w:line="480" w:lineRule="auto"/>
    </w:pPr>
  </w:style>
  <w:style w:type="character" w:customStyle="1" w:styleId="BodyText2Char">
    <w:name w:val="Body Text 2 Char"/>
    <w:basedOn w:val="DefaultParagraphFont"/>
    <w:link w:val="BodyText2"/>
    <w:uiPriority w:val="99"/>
    <w:rsid w:val="00584566"/>
    <w:rPr>
      <w:sz w:val="24"/>
      <w:szCs w:val="24"/>
    </w:rPr>
  </w:style>
  <w:style w:type="paragraph" w:styleId="BalloonText">
    <w:name w:val="Balloon Text"/>
    <w:basedOn w:val="Normal"/>
    <w:link w:val="BalloonTextChar"/>
    <w:uiPriority w:val="99"/>
    <w:semiHidden/>
    <w:unhideWhenUsed/>
    <w:rsid w:val="00806375"/>
    <w:rPr>
      <w:rFonts w:ascii="Tahoma" w:hAnsi="Tahoma" w:cs="Tahoma"/>
      <w:sz w:val="16"/>
      <w:szCs w:val="16"/>
    </w:rPr>
  </w:style>
  <w:style w:type="character" w:customStyle="1" w:styleId="BalloonTextChar">
    <w:name w:val="Balloon Text Char"/>
    <w:basedOn w:val="DefaultParagraphFont"/>
    <w:link w:val="BalloonText"/>
    <w:uiPriority w:val="99"/>
    <w:semiHidden/>
    <w:rsid w:val="00806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A13B6A"/>
    <w:pPr>
      <w:keepNext/>
      <w:pBdr>
        <w:top w:val="single" w:sz="6" w:space="1" w:color="auto"/>
        <w:left w:val="single" w:sz="6" w:space="0" w:color="auto"/>
        <w:bottom w:val="single" w:sz="6" w:space="1" w:color="auto"/>
        <w:right w:val="single" w:sz="6" w:space="1" w:color="auto"/>
      </w:pBdr>
      <w:ind w:firstLine="7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6C32"/>
    <w:pPr>
      <w:spacing w:before="100" w:beforeAutospacing="1" w:after="100" w:afterAutospacing="1"/>
    </w:pPr>
    <w:rPr>
      <w:rFonts w:ascii="Arial" w:hAnsi="Arial" w:cs="Arial"/>
      <w:color w:val="000000"/>
      <w:sz w:val="20"/>
      <w:szCs w:val="20"/>
    </w:rPr>
  </w:style>
  <w:style w:type="character" w:styleId="Strong">
    <w:name w:val="Strong"/>
    <w:basedOn w:val="DefaultParagraphFont"/>
    <w:qFormat/>
    <w:rsid w:val="00831C43"/>
    <w:rPr>
      <w:b/>
      <w:bCs/>
    </w:rPr>
  </w:style>
  <w:style w:type="paragraph" w:styleId="BodyText">
    <w:name w:val="Body Text"/>
    <w:basedOn w:val="Normal"/>
    <w:rsid w:val="00A13B6A"/>
    <w:rPr>
      <w:sz w:val="28"/>
    </w:rPr>
  </w:style>
  <w:style w:type="table" w:styleId="TableGrid">
    <w:name w:val="Table Grid"/>
    <w:basedOn w:val="TableNormal"/>
    <w:uiPriority w:val="59"/>
    <w:rsid w:val="005845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584566"/>
    <w:pPr>
      <w:spacing w:after="120" w:line="480" w:lineRule="auto"/>
    </w:pPr>
  </w:style>
  <w:style w:type="character" w:customStyle="1" w:styleId="BodyText2Char">
    <w:name w:val="Body Text 2 Char"/>
    <w:basedOn w:val="DefaultParagraphFont"/>
    <w:link w:val="BodyText2"/>
    <w:uiPriority w:val="99"/>
    <w:rsid w:val="00584566"/>
    <w:rPr>
      <w:sz w:val="24"/>
      <w:szCs w:val="24"/>
    </w:rPr>
  </w:style>
  <w:style w:type="paragraph" w:styleId="BalloonText">
    <w:name w:val="Balloon Text"/>
    <w:basedOn w:val="Normal"/>
    <w:link w:val="BalloonTextChar"/>
    <w:uiPriority w:val="99"/>
    <w:semiHidden/>
    <w:unhideWhenUsed/>
    <w:rsid w:val="00806375"/>
    <w:rPr>
      <w:rFonts w:ascii="Tahoma" w:hAnsi="Tahoma" w:cs="Tahoma"/>
      <w:sz w:val="16"/>
      <w:szCs w:val="16"/>
    </w:rPr>
  </w:style>
  <w:style w:type="character" w:customStyle="1" w:styleId="BalloonTextChar">
    <w:name w:val="Balloon Text Char"/>
    <w:basedOn w:val="DefaultParagraphFont"/>
    <w:link w:val="BalloonText"/>
    <w:uiPriority w:val="99"/>
    <w:semiHidden/>
    <w:rsid w:val="00806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8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BCC1-CA96-41E9-AFA9-D04E0D6C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In-Class Writing: The Stamp Act &amp; American Opposition</vt:lpstr>
    </vt:vector>
  </TitlesOfParts>
  <Company>The Peddie School</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In-Class Writing: The Stamp Act &amp; American Opposition</dc:title>
  <dc:creator>Peddie User</dc:creator>
  <cp:lastModifiedBy>operator</cp:lastModifiedBy>
  <cp:revision>2</cp:revision>
  <cp:lastPrinted>2009-09-16T14:07:00Z</cp:lastPrinted>
  <dcterms:created xsi:type="dcterms:W3CDTF">2013-08-29T20:34:00Z</dcterms:created>
  <dcterms:modified xsi:type="dcterms:W3CDTF">2013-08-29T20:34:00Z</dcterms:modified>
</cp:coreProperties>
</file>